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4F72" w14:textId="739381C8" w:rsidR="009C789F" w:rsidRPr="009C789F" w:rsidRDefault="009C789F" w:rsidP="00256B2C">
      <w:pPr>
        <w:pStyle w:val="Nagwek1"/>
        <w:spacing w:before="240" w:after="240" w:line="276" w:lineRule="auto"/>
        <w:ind w:left="284"/>
        <w:jc w:val="left"/>
        <w:rPr>
          <w:rFonts w:ascii="Calibri" w:hAnsi="Calibri" w:cs="Calibri"/>
        </w:rPr>
      </w:pPr>
      <w:r w:rsidRPr="009C789F"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41FDA8DA" wp14:editId="3B439055">
            <wp:simplePos x="0" y="0"/>
            <wp:positionH relativeFrom="column">
              <wp:posOffset>1652905</wp:posOffset>
            </wp:positionH>
            <wp:positionV relativeFrom="paragraph">
              <wp:posOffset>-773430</wp:posOffset>
            </wp:positionV>
            <wp:extent cx="5762625" cy="523875"/>
            <wp:effectExtent l="0" t="0" r="9525" b="9525"/>
            <wp:wrapNone/>
            <wp:docPr id="1732894196" name="Obraz 4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3DC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515171CE" wp14:editId="6C792F66">
                <wp:simplePos x="0" y="0"/>
                <wp:positionH relativeFrom="column">
                  <wp:posOffset>33020</wp:posOffset>
                </wp:positionH>
                <wp:positionV relativeFrom="paragraph">
                  <wp:posOffset>8536939</wp:posOffset>
                </wp:positionV>
                <wp:extent cx="5715000" cy="0"/>
                <wp:effectExtent l="0" t="0" r="0" b="0"/>
                <wp:wrapNone/>
                <wp:docPr id="1953138598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DF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.6pt;margin-top:672.2pt;width:45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9C789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1" layoutInCell="1" allowOverlap="1" wp14:anchorId="0036CDB4" wp14:editId="517E1648">
            <wp:simplePos x="0" y="0"/>
            <wp:positionH relativeFrom="column">
              <wp:posOffset>66040</wp:posOffset>
            </wp:positionH>
            <wp:positionV relativeFrom="paragraph">
              <wp:posOffset>8543925</wp:posOffset>
            </wp:positionV>
            <wp:extent cx="5777865" cy="684530"/>
            <wp:effectExtent l="0" t="0" r="0" b="0"/>
            <wp:wrapNone/>
            <wp:docPr id="45500910" name="Obraz 2" descr="Pasek logotypów Funduszy Europejskich: logotyp Fundusze Europejskie dla Rozwoju Społecznego, logotyp Rzecpospolita Polska, logotyp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ek logotypów Funduszy Europejskich: logotyp Fundusze Europejskie dla Rozwoju Społecznego, logotyp Rzecpospolita Polska, logotyp Dofinansowane przez Unię Europejsk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3D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0" wp14:anchorId="6EB0F564" wp14:editId="17825477">
                <wp:simplePos x="0" y="0"/>
                <wp:positionH relativeFrom="page">
                  <wp:posOffset>943610</wp:posOffset>
                </wp:positionH>
                <wp:positionV relativeFrom="page">
                  <wp:posOffset>9291955</wp:posOffset>
                </wp:positionV>
                <wp:extent cx="2928620" cy="438785"/>
                <wp:effectExtent l="0" t="0" r="0" b="0"/>
                <wp:wrapTight wrapText="bothSides">
                  <wp:wrapPolygon edited="0">
                    <wp:start x="0" y="0"/>
                    <wp:lineTo x="0" y="20631"/>
                    <wp:lineTo x="21497" y="20631"/>
                    <wp:lineTo x="21497" y="0"/>
                    <wp:lineTo x="0" y="0"/>
                  </wp:wrapPolygon>
                </wp:wrapTight>
                <wp:docPr id="179206336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A63FAD" w14:textId="77777777" w:rsidR="009C789F" w:rsidRPr="00EC442C" w:rsidRDefault="009C789F" w:rsidP="009C789F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EC442C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  <w:p w14:paraId="6CE58678" w14:textId="77777777" w:rsidR="009C789F" w:rsidRPr="00EC442C" w:rsidRDefault="009C789F" w:rsidP="009C789F">
                            <w:pPr>
                              <w:pStyle w:val="Stopka"/>
                              <w:spacing w:line="280" w:lineRule="exac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EC442C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ul. Pańska 81/83, 00-834 Warszawa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0F5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4.3pt;margin-top:731.65pt;width:230.6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5y9AEAAMo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" o:allowincell="f" o:allowoverlap="f" stroked="f">
                <v:textbox>
                  <w:txbxContent>
                    <w:p w14:paraId="08A63FAD" w14:textId="77777777" w:rsidR="009C789F" w:rsidRPr="00EC442C" w:rsidRDefault="009C789F" w:rsidP="009C789F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EC442C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  <w:p w14:paraId="6CE58678" w14:textId="77777777" w:rsidR="009C789F" w:rsidRPr="00EC442C" w:rsidRDefault="009C789F" w:rsidP="009C789F">
                      <w:pPr>
                        <w:pStyle w:val="Stopka"/>
                        <w:spacing w:line="280" w:lineRule="exact"/>
                        <w:rPr>
                          <w:color w:val="7F7F7F"/>
                          <w:sz w:val="20"/>
                          <w:szCs w:val="20"/>
                        </w:rPr>
                      </w:pPr>
                      <w:r w:rsidRPr="00EC442C">
                        <w:rPr>
                          <w:color w:val="7F7F7F"/>
                          <w:sz w:val="20"/>
                          <w:szCs w:val="20"/>
                        </w:rPr>
                        <w:t xml:space="preserve">ul. Pańska 81/83, 00-834 Warszawa  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Pr="009C789F">
        <w:rPr>
          <w:rFonts w:ascii="Calibri" w:hAnsi="Calibri" w:cs="Calibri"/>
        </w:rPr>
        <w:t>Formularz dotyczący rozeznania rynku</w:t>
      </w:r>
      <w:r>
        <w:rPr>
          <w:rFonts w:ascii="Calibri" w:hAnsi="Calibri" w:cs="Calibri"/>
        </w:rPr>
        <w:t xml:space="preserve"> </w:t>
      </w:r>
      <w:r w:rsidRPr="009C789F">
        <w:rPr>
          <w:rFonts w:ascii="Calibri" w:hAnsi="Calibri" w:cs="Calibri"/>
        </w:rPr>
        <w:t xml:space="preserve">w ramach </w:t>
      </w:r>
      <w:r w:rsidR="00A43179">
        <w:rPr>
          <w:rFonts w:ascii="Calibri" w:hAnsi="Calibri" w:cs="Calibri"/>
        </w:rPr>
        <w:t>naboru</w:t>
      </w:r>
      <w:r w:rsidRPr="009C789F">
        <w:rPr>
          <w:rFonts w:ascii="Calibri" w:hAnsi="Calibri" w:cs="Calibri"/>
        </w:rPr>
        <w:t xml:space="preserve"> „</w:t>
      </w:r>
      <w:r w:rsidR="00A43179">
        <w:rPr>
          <w:rFonts w:ascii="Calibri" w:hAnsi="Calibri" w:cs="Calibri"/>
        </w:rPr>
        <w:t>Kluczowe kompetencje dla sektorów</w:t>
      </w:r>
      <w:r w:rsidRPr="009C789F">
        <w:rPr>
          <w:rFonts w:ascii="Calibri" w:hAnsi="Calibri" w:cs="Calibri"/>
        </w:rPr>
        <w:t xml:space="preserve">” dla działania 01.03 Kadry nowoczesnej gospodarki Programu Fundusze Europejskie dla Rozwoju Społecznego 2021-2027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948"/>
      </w:tblGrid>
      <w:tr w:rsidR="009C789F" w:rsidRPr="00D83835" w14:paraId="707E36BB" w14:textId="77777777" w:rsidTr="00157B49">
        <w:tc>
          <w:tcPr>
            <w:tcW w:w="3227" w:type="dxa"/>
            <w:shd w:val="clear" w:color="auto" w:fill="F2F2F2"/>
          </w:tcPr>
          <w:p w14:paraId="712FCCBC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Podmiot:</w:t>
            </w:r>
          </w:p>
        </w:tc>
        <w:tc>
          <w:tcPr>
            <w:tcW w:w="10948" w:type="dxa"/>
            <w:shd w:val="clear" w:color="auto" w:fill="auto"/>
          </w:tcPr>
          <w:p w14:paraId="51CE401B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55DCD5D0" w14:textId="77777777" w:rsidTr="00157B49">
        <w:tc>
          <w:tcPr>
            <w:tcW w:w="3227" w:type="dxa"/>
            <w:shd w:val="clear" w:color="auto" w:fill="F2F2F2"/>
          </w:tcPr>
          <w:p w14:paraId="3506857E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Osoba do kontaktu:</w:t>
            </w:r>
          </w:p>
        </w:tc>
        <w:tc>
          <w:tcPr>
            <w:tcW w:w="10948" w:type="dxa"/>
            <w:shd w:val="clear" w:color="auto" w:fill="auto"/>
          </w:tcPr>
          <w:p w14:paraId="563BF96E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29B6676A" w14:textId="77777777" w:rsidTr="00157B49">
        <w:tc>
          <w:tcPr>
            <w:tcW w:w="3227" w:type="dxa"/>
            <w:shd w:val="clear" w:color="auto" w:fill="F2F2F2"/>
          </w:tcPr>
          <w:p w14:paraId="14037923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E-mail:</w:t>
            </w:r>
          </w:p>
        </w:tc>
        <w:tc>
          <w:tcPr>
            <w:tcW w:w="10948" w:type="dxa"/>
            <w:shd w:val="clear" w:color="auto" w:fill="auto"/>
          </w:tcPr>
          <w:p w14:paraId="644AEEC2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5894BCF8" w14:textId="77777777" w:rsidTr="00157B49">
        <w:tc>
          <w:tcPr>
            <w:tcW w:w="3227" w:type="dxa"/>
            <w:shd w:val="clear" w:color="auto" w:fill="F2F2F2"/>
          </w:tcPr>
          <w:p w14:paraId="55AA064D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Tel:</w:t>
            </w:r>
          </w:p>
        </w:tc>
        <w:tc>
          <w:tcPr>
            <w:tcW w:w="10948" w:type="dxa"/>
            <w:shd w:val="clear" w:color="auto" w:fill="auto"/>
          </w:tcPr>
          <w:p w14:paraId="76C0AC09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401C7CA9" w14:textId="77777777" w:rsidTr="00157B49">
        <w:tc>
          <w:tcPr>
            <w:tcW w:w="3227" w:type="dxa"/>
            <w:shd w:val="clear" w:color="auto" w:fill="F2F2F2"/>
          </w:tcPr>
          <w:p w14:paraId="5D225EEB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Data sporządzenia informacji:</w:t>
            </w:r>
          </w:p>
        </w:tc>
        <w:tc>
          <w:tcPr>
            <w:tcW w:w="10948" w:type="dxa"/>
            <w:shd w:val="clear" w:color="auto" w:fill="auto"/>
          </w:tcPr>
          <w:p w14:paraId="0AA03BA2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1FE72BD3" w14:textId="77777777" w:rsidR="009C789F" w:rsidRPr="00E932C0" w:rsidRDefault="009C789F" w:rsidP="009C789F"/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1498"/>
        <w:gridCol w:w="1941"/>
      </w:tblGrid>
      <w:tr w:rsidR="009C789F" w:rsidRPr="005A059B" w14:paraId="772AACA2" w14:textId="77777777" w:rsidTr="00F5254B">
        <w:trPr>
          <w:tblHeader/>
        </w:trPr>
        <w:tc>
          <w:tcPr>
            <w:tcW w:w="738" w:type="dxa"/>
            <w:shd w:val="clear" w:color="auto" w:fill="F2F2F2"/>
            <w:vAlign w:val="center"/>
          </w:tcPr>
          <w:p w14:paraId="0288FB9F" w14:textId="77777777" w:rsidR="009C789F" w:rsidRPr="005A059B" w:rsidRDefault="009C789F" w:rsidP="00157B49">
            <w:pPr>
              <w:spacing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Lp.</w:t>
            </w:r>
          </w:p>
        </w:tc>
        <w:tc>
          <w:tcPr>
            <w:tcW w:w="11595" w:type="dxa"/>
            <w:shd w:val="clear" w:color="auto" w:fill="F2F2F2"/>
            <w:vAlign w:val="center"/>
          </w:tcPr>
          <w:p w14:paraId="5C29BE8E" w14:textId="77777777" w:rsidR="009C789F" w:rsidRPr="005A059B" w:rsidRDefault="009C789F" w:rsidP="00157B49">
            <w:pPr>
              <w:spacing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Zadanie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i s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tandard 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usługi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4880257B" w14:textId="77777777" w:rsidR="009C789F" w:rsidRPr="005A059B" w:rsidRDefault="009C789F" w:rsidP="00157B49">
            <w:pPr>
              <w:spacing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C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ena 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jednost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kowa </w:t>
            </w:r>
          </w:p>
        </w:tc>
      </w:tr>
      <w:tr w:rsidR="009C789F" w:rsidRPr="005A059B" w14:paraId="56D7BD93" w14:textId="77777777" w:rsidTr="00F5254B">
        <w:trPr>
          <w:trHeight w:val="1158"/>
        </w:trPr>
        <w:tc>
          <w:tcPr>
            <w:tcW w:w="738" w:type="dxa"/>
            <w:shd w:val="clear" w:color="auto" w:fill="auto"/>
          </w:tcPr>
          <w:p w14:paraId="3B2DB199" w14:textId="77777777" w:rsidR="009C789F" w:rsidRPr="005A059B" w:rsidRDefault="009C789F" w:rsidP="00157B49">
            <w:pPr>
              <w:numPr>
                <w:ilvl w:val="0"/>
                <w:numId w:val="1"/>
              </w:numPr>
              <w:tabs>
                <w:tab w:val="left" w:pos="380"/>
              </w:tabs>
              <w:spacing w:before="60" w:line="276" w:lineRule="auto"/>
              <w:ind w:left="0" w:firstLine="0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6303000A" w14:textId="2ABDA46C" w:rsidR="009C789F" w:rsidRPr="00EF73BB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Koszt rekrutacji </w:t>
            </w:r>
            <w:r w:rsidR="0087172A"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potencjaln</w:t>
            </w:r>
            <w:r w:rsidR="0087172A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ego przedsiębiorstwa, którego pracownicy lub pracownice będą korzystać z</w:t>
            </w: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usług </w:t>
            </w:r>
            <w:r w:rsidR="00744221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rozwojowych wynikających z rekomendacji </w:t>
            </w:r>
            <w:r w:rsidR="00157681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sektorowej </w:t>
            </w:r>
            <w:r w:rsidR="00744221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rady </w:t>
            </w:r>
            <w:r w:rsidR="00EE4D1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ds. kompetencji (SRK)</w:t>
            </w:r>
            <w:r w:rsidR="00744221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lub Rady </w:t>
            </w:r>
            <w:r w:rsidR="00157681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Programowej </w:t>
            </w:r>
            <w:r w:rsidR="00EE4D1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ds. kompetencji (RPK)</w:t>
            </w: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</w:t>
            </w:r>
          </w:p>
          <w:p w14:paraId="16A0BE17" w14:textId="62D1C020" w:rsidR="00FB4704" w:rsidRDefault="00FB4704" w:rsidP="00B04AFE">
            <w:pPr>
              <w:spacing w:before="120" w:after="120" w:line="276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</w:t>
            </w:r>
            <w:r w:rsidR="00FA3C79" w:rsidRPr="00FA3C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ekrutacja rozumiana jest jako aktywne działania merytoryczne niezbędne do pozyskania </w:t>
            </w:r>
            <w:r w:rsidR="00621BC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przedsiębiorstwa, którego pracownicy lub pracownice zostaną objęci wsparciem w ramach </w:t>
            </w:r>
            <w:r w:rsidR="00FA3C79" w:rsidRPr="00FA3C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projektu</w:t>
            </w: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</w:t>
            </w:r>
            <w:r w:rsidR="00FA3C79" w:rsidRPr="00FA3C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</w:p>
          <w:p w14:paraId="08EF7A06" w14:textId="23C46BAF" w:rsidR="00FA3C79" w:rsidRDefault="00FB4704" w:rsidP="00B04AFE">
            <w:pPr>
              <w:spacing w:before="120" w:after="120" w:line="276" w:lineRule="auto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</w:t>
            </w:r>
            <w:r w:rsidR="00FA3C79" w:rsidRPr="00FA3C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ależy uwzględnić w niej co najmniej następujące działania: </w:t>
            </w:r>
          </w:p>
          <w:p w14:paraId="32C89744" w14:textId="516B34AF" w:rsidR="00F37C77" w:rsidRDefault="00FA3C79" w:rsidP="00AD0EB7">
            <w:pPr>
              <w:spacing w:line="276" w:lineRule="auto"/>
              <w:ind w:left="641" w:hanging="357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A3C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1) </w:t>
            </w:r>
            <w:r w:rsidR="00F37C7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Wsparcie merytoryczne przedsiębiorcy/ przedsiębiorczyni w zakresie:</w:t>
            </w:r>
          </w:p>
          <w:p w14:paraId="07D17B49" w14:textId="77F988E5" w:rsidR="00D949E3" w:rsidRPr="00744221" w:rsidRDefault="00D949E3" w:rsidP="007C7167">
            <w:pPr>
              <w:pStyle w:val="Akapitzlist"/>
              <w:numPr>
                <w:ilvl w:val="0"/>
                <w:numId w:val="18"/>
              </w:numPr>
              <w:spacing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weryfikacj</w:t>
            </w:r>
            <w:r w:rsidR="00744221"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i</w:t>
            </w:r>
            <w:r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  <w:r w:rsidR="00F37C77"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przynależności </w:t>
            </w:r>
            <w:r w:rsidR="00157681"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przedsiębiorstwa </w:t>
            </w:r>
            <w:r w:rsidR="00F37C77"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do sektora zdefiniowanego </w:t>
            </w:r>
            <w:r w:rsidR="00F63DAB" w:rsidRPr="007C7167">
              <w:rPr>
                <w:rFonts w:ascii="Calibri" w:hAnsi="Calibri" w:cs="Calibri"/>
                <w:sz w:val="24"/>
                <w:szCs w:val="24"/>
              </w:rPr>
              <w:t xml:space="preserve">zgodnie z uchwałą </w:t>
            </w:r>
            <w:r w:rsidR="00157681"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</w:t>
            </w:r>
            <w:r w:rsidR="002544F6"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PK</w:t>
            </w:r>
            <w:r w:rsidR="002544F6" w:rsidRPr="002544F6">
              <w:rPr>
                <w:rStyle w:val="Odwoanieprzypisudolnego"/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  <w:r w:rsidR="00157681">
              <w:rPr>
                <w:rStyle w:val="Odwoanieprzypisudolnego"/>
                <w:rFonts w:ascii="Calibri" w:eastAsia="Calibri" w:hAnsi="Calibri" w:cs="Calibri"/>
                <w:sz w:val="24"/>
                <w:szCs w:val="24"/>
                <w:lang w:eastAsia="en-US"/>
              </w:rPr>
              <w:footnoteReference w:id="1"/>
            </w:r>
            <w:r w:rsidR="00157681"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; </w:t>
            </w:r>
          </w:p>
          <w:p w14:paraId="45F6F1D1" w14:textId="77F4A80A" w:rsidR="00F37C77" w:rsidRPr="007C7167" w:rsidRDefault="00F37C77" w:rsidP="007C7167">
            <w:pPr>
              <w:pStyle w:val="Akapitzlist"/>
              <w:numPr>
                <w:ilvl w:val="0"/>
                <w:numId w:val="18"/>
              </w:numPr>
              <w:spacing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weryfikacj</w:t>
            </w:r>
            <w:r w:rsidR="00157681"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i, czy</w:t>
            </w:r>
            <w:r w:rsidRPr="007C716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  <w:r w:rsidR="00157681" w:rsidRPr="007C7167">
              <w:rPr>
                <w:rFonts w:ascii="Calibri" w:hAnsi="Calibri" w:cs="Calibri"/>
                <w:sz w:val="24"/>
                <w:szCs w:val="24"/>
              </w:rPr>
              <w:t>przedsiębiorstwo s</w:t>
            </w:r>
            <w:r w:rsidR="0093144F" w:rsidRPr="007C7167">
              <w:rPr>
                <w:rFonts w:ascii="Calibri" w:hAnsi="Calibri" w:cs="Calibri"/>
                <w:sz w:val="24"/>
                <w:szCs w:val="24"/>
              </w:rPr>
              <w:t>korzysta</w:t>
            </w:r>
            <w:r w:rsidR="00157681" w:rsidRPr="007C7167">
              <w:rPr>
                <w:rFonts w:ascii="Calibri" w:hAnsi="Calibri" w:cs="Calibri"/>
                <w:sz w:val="24"/>
                <w:szCs w:val="24"/>
              </w:rPr>
              <w:t>ło</w:t>
            </w:r>
            <w:r w:rsidR="0093144F" w:rsidRPr="007C7167">
              <w:rPr>
                <w:rFonts w:ascii="Calibri" w:hAnsi="Calibri" w:cs="Calibri"/>
                <w:sz w:val="24"/>
                <w:szCs w:val="24"/>
              </w:rPr>
              <w:t xml:space="preserve"> ze wsparcia u innego Operatora</w:t>
            </w:r>
            <w:r w:rsidRPr="007C7167">
              <w:rPr>
                <w:rFonts w:ascii="Calibri" w:hAnsi="Calibri" w:cs="Calibri"/>
                <w:sz w:val="24"/>
                <w:szCs w:val="24"/>
              </w:rPr>
              <w:t xml:space="preserve"> wdraża</w:t>
            </w:r>
            <w:r w:rsidR="00E23F4A" w:rsidRPr="007C7167">
              <w:rPr>
                <w:rFonts w:ascii="Calibri" w:hAnsi="Calibri" w:cs="Calibri"/>
                <w:sz w:val="24"/>
                <w:szCs w:val="24"/>
              </w:rPr>
              <w:t>jącego</w:t>
            </w:r>
            <w:r w:rsidRPr="007C7167">
              <w:rPr>
                <w:rFonts w:ascii="Calibri" w:hAnsi="Calibri" w:cs="Calibri"/>
                <w:sz w:val="24"/>
                <w:szCs w:val="24"/>
              </w:rPr>
              <w:t xml:space="preserve"> rekomendacj</w:t>
            </w:r>
            <w:r w:rsidR="00E23F4A" w:rsidRPr="007C7167">
              <w:rPr>
                <w:rFonts w:ascii="Calibri" w:hAnsi="Calibri" w:cs="Calibri"/>
                <w:sz w:val="24"/>
                <w:szCs w:val="24"/>
              </w:rPr>
              <w:t>e</w:t>
            </w:r>
            <w:r w:rsidR="00621BC7" w:rsidRPr="007C716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B4704" w:rsidRPr="007C7167">
              <w:rPr>
                <w:rFonts w:ascii="Calibri" w:hAnsi="Calibri" w:cs="Calibri"/>
                <w:sz w:val="24"/>
                <w:szCs w:val="24"/>
              </w:rPr>
              <w:t>SR</w:t>
            </w:r>
            <w:r w:rsidR="00621BC7" w:rsidRPr="007C7167">
              <w:rPr>
                <w:rFonts w:ascii="Calibri" w:hAnsi="Calibri" w:cs="Calibri"/>
                <w:sz w:val="24"/>
                <w:szCs w:val="24"/>
              </w:rPr>
              <w:t xml:space="preserve">K </w:t>
            </w:r>
            <w:r w:rsidR="00157681" w:rsidRPr="007C7167">
              <w:rPr>
                <w:rFonts w:ascii="Calibri" w:hAnsi="Calibri" w:cs="Calibri"/>
                <w:sz w:val="24"/>
                <w:szCs w:val="24"/>
              </w:rPr>
              <w:t xml:space="preserve">lub </w:t>
            </w:r>
            <w:r w:rsidR="00AE2FD1">
              <w:rPr>
                <w:rFonts w:ascii="Calibri" w:hAnsi="Calibri" w:cs="Calibri"/>
                <w:sz w:val="24"/>
                <w:szCs w:val="24"/>
              </w:rPr>
              <w:t>R</w:t>
            </w:r>
            <w:r w:rsidR="00621BC7" w:rsidRPr="007C7167">
              <w:rPr>
                <w:rFonts w:ascii="Calibri" w:hAnsi="Calibri" w:cs="Calibri"/>
                <w:sz w:val="24"/>
                <w:szCs w:val="24"/>
              </w:rPr>
              <w:t>PK</w:t>
            </w:r>
            <w:r w:rsidR="002544F6" w:rsidRPr="007C7167">
              <w:rPr>
                <w:rFonts w:ascii="Calibri" w:hAnsi="Calibri" w:cs="Calibri"/>
                <w:sz w:val="24"/>
                <w:szCs w:val="24"/>
              </w:rPr>
              <w:t>.</w:t>
            </w:r>
            <w:r w:rsidRPr="007C716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D4D648C" w14:textId="32926506" w:rsidR="00F40ECD" w:rsidRDefault="00FA3C79" w:rsidP="00F37C77">
            <w:pPr>
              <w:spacing w:line="276" w:lineRule="auto"/>
              <w:ind w:left="641" w:hanging="357"/>
              <w:contextualSpacing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A3C7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2) </w:t>
            </w:r>
            <w:r w:rsidR="0015768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M</w:t>
            </w:r>
            <w:r w:rsidR="00F40ECD" w:rsidRPr="00F40EC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erytoryczn</w:t>
            </w:r>
            <w:r w:rsidR="0015768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ą</w:t>
            </w:r>
            <w:r w:rsidR="00F40ECD" w:rsidRPr="00F40EC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ocen</w:t>
            </w:r>
            <w:r w:rsidR="0015768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ę</w:t>
            </w:r>
            <w:r w:rsidR="00F40ECD" w:rsidRPr="00F40EC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dokumentów składanych przez przedsiębiorstwa, w tym weryfikacja podmiotu i statusu </w:t>
            </w:r>
            <w:r w:rsidR="00D406B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przedsiębiorstwa </w:t>
            </w:r>
            <w:r w:rsidR="00F40ECD" w:rsidRPr="00F40EC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(m.in. na podstawie wpisu do KRS/CEIDG oraz powiązań osobowo-kapitałowych), formularza informacji przedstawianych przy ubieganiu się o pomoc de minimis, zaświadczeń o otrzymanej pomocy de minimis lub oświadczeń o braku otrzymania pomocy de minimis w okresie ostatnich 3 lat (weryfikowane w</w:t>
            </w:r>
            <w:r w:rsidR="00AD4FD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 </w:t>
            </w:r>
            <w:r w:rsidR="00F40ECD" w:rsidRPr="00F40EC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oparciu o SHRIMP), sprawdzenie podmiotu oraz podmiotów i osób powiązanych z nim osobowo lub kapitałowo pod kątem potencjalnego wykluczenia na podstawie ustawy z dnia 13 kwietnia 2022 r. o</w:t>
            </w:r>
            <w:r w:rsidR="00AD4FD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 </w:t>
            </w:r>
            <w:r w:rsidR="00F40ECD" w:rsidRPr="00F40ECD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szczególnych rozwiązaniach w zakresie przeciwdziałania wspieraniu agresji na Ukrainę oraz służących ochronie bezpieczeństwa narodowego, w szczególności, czy zostały wpisane na listę, o której mowa w art. 2 ust. 1 tej ustawy (jeśli dotyczy)</w:t>
            </w:r>
            <w:r w:rsidR="0074422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.</w:t>
            </w:r>
          </w:p>
          <w:p w14:paraId="7EDA2C18" w14:textId="150218DC" w:rsidR="009C789F" w:rsidRPr="00744221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74422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Grupę docelową projektu stanowią mikro, małe, średnie oraz duże przedsiębiorstwa</w:t>
            </w:r>
            <w:r w:rsidRPr="007442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4422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zainteresowane </w:t>
            </w:r>
            <w:r w:rsidR="00744221" w:rsidRPr="00B04AFE">
              <w:rPr>
                <w:rFonts w:ascii="Calibri" w:hAnsi="Calibri" w:cs="Calibri"/>
                <w:sz w:val="24"/>
                <w:szCs w:val="24"/>
              </w:rPr>
              <w:t xml:space="preserve">usługami rozwojowymi wynikającymi z rekomendacji </w:t>
            </w:r>
            <w:r w:rsidR="00621BC7">
              <w:rPr>
                <w:rFonts w:ascii="Calibri" w:hAnsi="Calibri" w:cs="Calibri"/>
                <w:sz w:val="24"/>
                <w:szCs w:val="24"/>
              </w:rPr>
              <w:t>SRK</w:t>
            </w:r>
            <w:r w:rsidR="00744221" w:rsidRPr="00B04AFE">
              <w:rPr>
                <w:rFonts w:ascii="Calibri" w:hAnsi="Calibri" w:cs="Calibri"/>
                <w:sz w:val="24"/>
                <w:szCs w:val="24"/>
              </w:rPr>
              <w:t xml:space="preserve"> lub </w:t>
            </w:r>
            <w:r w:rsidR="00621BC7">
              <w:rPr>
                <w:rFonts w:ascii="Calibri" w:hAnsi="Calibri" w:cs="Calibri"/>
                <w:sz w:val="24"/>
                <w:szCs w:val="24"/>
              </w:rPr>
              <w:t>RPK</w:t>
            </w:r>
            <w:r w:rsidR="00744221" w:rsidRPr="00B04AFE">
              <w:rPr>
                <w:rFonts w:ascii="Calibri" w:hAnsi="Calibri" w:cs="Calibri"/>
                <w:sz w:val="24"/>
                <w:szCs w:val="24"/>
              </w:rPr>
              <w:t xml:space="preserve"> oraz </w:t>
            </w:r>
            <w:r w:rsidRPr="0074422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delegowan</w:t>
            </w:r>
            <w:r w:rsidR="00744221" w:rsidRPr="0074422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i</w:t>
            </w:r>
            <w:r w:rsidRPr="0074422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pracowni</w:t>
            </w:r>
            <w:r w:rsidR="00AD4FD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cy</w:t>
            </w:r>
            <w:r w:rsidRPr="0074422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lub pracowni</w:t>
            </w:r>
            <w:r w:rsidR="0074422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c</w:t>
            </w:r>
            <w:r w:rsidR="00AD4FD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</w:t>
            </w:r>
            <w:r w:rsidR="00744221" w:rsidRPr="00744221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, </w:t>
            </w:r>
            <w:r w:rsidR="00744221" w:rsidRPr="00744221">
              <w:rPr>
                <w:rFonts w:ascii="Calibri" w:hAnsi="Calibri" w:cs="Calibri"/>
                <w:sz w:val="24"/>
                <w:szCs w:val="24"/>
              </w:rPr>
              <w:t>przy czym pracownicy lub pracownice dużych przedsiębiorstw nie mogą stanowić więcej niż 40% osób objętych wsparciem w projekcie.</w:t>
            </w:r>
          </w:p>
        </w:tc>
        <w:tc>
          <w:tcPr>
            <w:tcW w:w="1842" w:type="dxa"/>
            <w:shd w:val="clear" w:color="auto" w:fill="auto"/>
          </w:tcPr>
          <w:p w14:paraId="12DA9D77" w14:textId="77777777" w:rsidR="009C789F" w:rsidRPr="00F62D81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F62D8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…. PLN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brutto </w:t>
            </w:r>
            <w:r w:rsidRPr="00F62D8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za przedsiębiorstwo </w:t>
            </w:r>
          </w:p>
          <w:p w14:paraId="67D7A4BC" w14:textId="77777777" w:rsidR="009C789F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</w:tr>
      <w:tr w:rsidR="009C789F" w:rsidRPr="005A059B" w14:paraId="35A38EB9" w14:textId="77777777" w:rsidTr="00F5254B">
        <w:trPr>
          <w:trHeight w:val="1158"/>
        </w:trPr>
        <w:tc>
          <w:tcPr>
            <w:tcW w:w="738" w:type="dxa"/>
            <w:shd w:val="clear" w:color="auto" w:fill="auto"/>
          </w:tcPr>
          <w:p w14:paraId="2D90A538" w14:textId="77777777" w:rsidR="009C789F" w:rsidRPr="005A059B" w:rsidRDefault="009C789F" w:rsidP="00520F32">
            <w:pPr>
              <w:numPr>
                <w:ilvl w:val="0"/>
                <w:numId w:val="1"/>
              </w:numPr>
              <w:tabs>
                <w:tab w:val="left" w:pos="380"/>
              </w:tabs>
              <w:spacing w:before="60" w:line="276" w:lineRule="auto"/>
              <w:ind w:left="0" w:firstLine="0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211F0FA4" w14:textId="334CDEEB" w:rsidR="009C789F" w:rsidRPr="00EF73BB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Koszt rekrutacji potencjalnych uczestników</w:t>
            </w:r>
            <w:r w:rsidR="00B04AF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lub uczestniczek</w:t>
            </w: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</w:t>
            </w:r>
            <w:r w:rsidR="00B04AFE"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usług </w:t>
            </w:r>
            <w:r w:rsidR="00B04AF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rozwojowych wynikających z</w:t>
            </w:r>
            <w:r w:rsidR="005473E9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 </w:t>
            </w:r>
            <w:r w:rsidR="00B04AF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rekomendacji </w:t>
            </w:r>
            <w:r w:rsidR="004A5990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SRK lub RPK</w:t>
            </w:r>
            <w:r w:rsidR="00B04AFE" w:rsidRPr="00EF73BB" w:rsidDel="00B04AF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</w:t>
            </w: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– pracownice lub pracownicy przedsiębiorstwa  </w:t>
            </w:r>
          </w:p>
          <w:p w14:paraId="7D001005" w14:textId="2710B51D" w:rsidR="00B04AFE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5639F2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 xml:space="preserve">Rekrutacja rozumiana jest jako </w:t>
            </w:r>
            <w:r w:rsidRPr="00EF73B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merytoryczna ocena dokumentów, w tym: </w:t>
            </w:r>
          </w:p>
          <w:p w14:paraId="7260F547" w14:textId="72A8E406" w:rsidR="00B04AFE" w:rsidRDefault="009C789F" w:rsidP="00B04AFE">
            <w:pPr>
              <w:pStyle w:val="Akapitzlist"/>
              <w:numPr>
                <w:ilvl w:val="0"/>
                <w:numId w:val="16"/>
              </w:num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04AF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kwalifikowalność osób do projektu zgodnie z definicją pracownika określoną w art. 3 ust. 3 ustawy o</w:t>
            </w:r>
            <w:r w:rsidR="005473E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 </w:t>
            </w:r>
            <w:r w:rsidRPr="00B04AF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PARP</w:t>
            </w:r>
            <w:r w:rsidR="00D406B4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,</w:t>
            </w:r>
            <w:r w:rsidRPr="00B04AF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</w:p>
          <w:p w14:paraId="226B27CF" w14:textId="08CDAF56" w:rsidR="009C789F" w:rsidRPr="00B04AFE" w:rsidRDefault="009C789F" w:rsidP="00B04AFE">
            <w:pPr>
              <w:pStyle w:val="Akapitzlist"/>
              <w:numPr>
                <w:ilvl w:val="0"/>
                <w:numId w:val="16"/>
              </w:num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04AF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oświadczenia pracownic lub pracowników przedsiębiorstwa o jednorazowym udziale w projekcie w</w:t>
            </w:r>
            <w:r w:rsidR="005473E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 </w:t>
            </w:r>
            <w:r w:rsidRPr="00B04AF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ramach naboru „</w:t>
            </w:r>
            <w:r w:rsidR="00B04AFE" w:rsidRPr="00B04AF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Kluczowe kompetencje dla sektorów</w:t>
            </w:r>
            <w:r w:rsidRPr="00B04AF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”.</w:t>
            </w:r>
          </w:p>
        </w:tc>
        <w:tc>
          <w:tcPr>
            <w:tcW w:w="1842" w:type="dxa"/>
            <w:shd w:val="clear" w:color="auto" w:fill="auto"/>
          </w:tcPr>
          <w:p w14:paraId="03E2FA28" w14:textId="55CC39FA" w:rsidR="009C789F" w:rsidRPr="00EF73BB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815BBA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lastRenderedPageBreak/>
              <w:t xml:space="preserve">….. PLN brutto na </w:t>
            </w:r>
            <w:r w:rsidR="005473E9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osobę</w:t>
            </w:r>
          </w:p>
        </w:tc>
      </w:tr>
      <w:tr w:rsidR="009C789F" w:rsidRPr="005A059B" w14:paraId="1CB431CA" w14:textId="77777777" w:rsidTr="00F5254B">
        <w:trPr>
          <w:trHeight w:val="1158"/>
        </w:trPr>
        <w:tc>
          <w:tcPr>
            <w:tcW w:w="738" w:type="dxa"/>
            <w:shd w:val="clear" w:color="auto" w:fill="auto"/>
          </w:tcPr>
          <w:p w14:paraId="5EA71FE7" w14:textId="77777777" w:rsidR="009C789F" w:rsidRPr="00FB4704" w:rsidRDefault="009C789F" w:rsidP="00520F32">
            <w:pPr>
              <w:numPr>
                <w:ilvl w:val="0"/>
                <w:numId w:val="1"/>
              </w:numPr>
              <w:tabs>
                <w:tab w:val="left" w:pos="380"/>
              </w:tabs>
              <w:spacing w:before="60" w:line="276" w:lineRule="auto"/>
              <w:ind w:left="0" w:firstLine="0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95" w:type="dxa"/>
            <w:shd w:val="clear" w:color="auto" w:fill="auto"/>
          </w:tcPr>
          <w:p w14:paraId="5AAAEE7F" w14:textId="77777777" w:rsidR="009C789F" w:rsidRPr="00FB4704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FB4704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Koszt jednej wizyty monitoringowej</w:t>
            </w:r>
          </w:p>
          <w:p w14:paraId="438E3C1A" w14:textId="77777777" w:rsidR="00B04AFE" w:rsidRPr="00FB4704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Do zadań osoby odpowiedzialnej za monitoring usług rozwojowych będzie należało zweryfikowanie wykonania usługi rozwojowej przez podmiot realizujący ją na rzecz przedsiębiorców. </w:t>
            </w:r>
          </w:p>
          <w:p w14:paraId="315B9D74" w14:textId="77777777" w:rsidR="00B04AFE" w:rsidRPr="0032687E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32687E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Celem monitoringu jest sprawdzenie czy usługa: </w:t>
            </w:r>
          </w:p>
          <w:p w14:paraId="31256BE5" w14:textId="77777777" w:rsidR="00B04AFE" w:rsidRPr="0032687E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32687E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1) jest rzeczywiście realizowana (m.in. weryfikacja obecności uczestników, trenera/doradcy, materiałów), </w:t>
            </w:r>
          </w:p>
          <w:p w14:paraId="551892C3" w14:textId="77777777" w:rsidR="007C7167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32687E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>2) jest realizowana zgodnie z kartą usługi</w:t>
            </w:r>
            <w:r w:rsidR="0032687E">
              <w:rPr>
                <w:rStyle w:val="Odwoanieprzypisudolnego"/>
                <w:rFonts w:ascii="Calibri" w:eastAsia="Calibri" w:hAnsi="Calibri"/>
                <w:bCs/>
                <w:sz w:val="24"/>
                <w:szCs w:val="22"/>
                <w:lang w:eastAsia="en-US"/>
              </w:rPr>
              <w:footnoteReference w:id="2"/>
            </w:r>
            <w:r w:rsidRPr="0032687E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. </w:t>
            </w:r>
          </w:p>
          <w:p w14:paraId="4A10F53F" w14:textId="28D02B44" w:rsidR="00B04AFE" w:rsidRPr="00FB4704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32687E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>Monitoring może odbywać</w:t>
            </w: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 się w formie wizyt monitoringowych na miejscu – w przypadku </w:t>
            </w:r>
            <w:r w:rsidR="0087172A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>u</w:t>
            </w: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sług rozwojowych realizowanych stacjonarnie lub monitoringu zdalnego – w przypadku </w:t>
            </w:r>
            <w:r w:rsid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>u</w:t>
            </w: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sług rozwojowych realizowanych zdalnie. </w:t>
            </w:r>
          </w:p>
          <w:p w14:paraId="5FC1A1CD" w14:textId="77777777" w:rsidR="00B04AFE" w:rsidRPr="00FB4704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Efektem monitorowania jest sprawozdanie z wizyty monitoringowej zawierające co najmniej następujące informacje: </w:t>
            </w:r>
          </w:p>
          <w:p w14:paraId="3749D7E6" w14:textId="104B7798" w:rsidR="00B04AFE" w:rsidRPr="00FB4704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>1) ID wsparcia z BUR</w:t>
            </w:r>
            <w:r w:rsidR="0087172A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 (jeśli dotyczy)</w:t>
            </w: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, </w:t>
            </w:r>
          </w:p>
          <w:p w14:paraId="4093272D" w14:textId="3BDD4FE8" w:rsidR="00B04AFE" w:rsidRPr="00FB4704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>2) nazwa i adres Wykonawcy usługi</w:t>
            </w:r>
            <w:r w:rsidR="0087172A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 rozwojowej</w:t>
            </w: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, </w:t>
            </w:r>
          </w:p>
          <w:p w14:paraId="36BFC528" w14:textId="77777777" w:rsidR="00B04AFE" w:rsidRPr="00FB4704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3) imię i nazwisko uczestnika/uczestniczki usługi rozwojowej, </w:t>
            </w:r>
          </w:p>
          <w:p w14:paraId="5F6D0CB2" w14:textId="77777777" w:rsidR="00B04AFE" w:rsidRPr="00FB4704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 xml:space="preserve">4) nazwa i adres przedsiębiorstwa, </w:t>
            </w:r>
          </w:p>
          <w:p w14:paraId="76D83792" w14:textId="716F8C7A" w:rsidR="00F40ECD" w:rsidRPr="00FB4704" w:rsidRDefault="00F40ECD" w:rsidP="00157B49">
            <w:pPr>
              <w:spacing w:before="240" w:after="240" w:line="276" w:lineRule="auto"/>
              <w:jc w:val="left"/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</w:pPr>
            <w:r w:rsidRPr="00FB4704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t>5) termin i miejsce wizyty.</w:t>
            </w:r>
          </w:p>
        </w:tc>
        <w:tc>
          <w:tcPr>
            <w:tcW w:w="1842" w:type="dxa"/>
            <w:shd w:val="clear" w:color="auto" w:fill="auto"/>
          </w:tcPr>
          <w:p w14:paraId="1FAD09FA" w14:textId="0FD77CBC" w:rsidR="00B04AFE" w:rsidRPr="00FB4704" w:rsidRDefault="0087172A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</w:pPr>
            <w:r w:rsidRPr="00FB4704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>….</w:t>
            </w:r>
            <w:r w:rsidR="00F40ECD" w:rsidRPr="00FB4704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 xml:space="preserve"> PLN za przeprowadzenie wizyty monitoringowej </w:t>
            </w:r>
            <w:r w:rsidRPr="00FB4704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>na</w:t>
            </w:r>
            <w:r w:rsidR="00F40ECD" w:rsidRPr="00FB4704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 xml:space="preserve"> miejscu realizacji usługi – usługa stacjonarna, </w:t>
            </w:r>
            <w:r w:rsidR="00B04AFE" w:rsidRPr="00FB4704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br/>
            </w:r>
          </w:p>
          <w:p w14:paraId="5FD8D6C5" w14:textId="58D8F5D0" w:rsidR="009C789F" w:rsidRPr="00B04AFE" w:rsidDel="005639F2" w:rsidRDefault="00F40ECD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highlight w:val="yellow"/>
                <w:lang w:eastAsia="en-US"/>
              </w:rPr>
            </w:pPr>
            <w:r w:rsidRPr="00FB4704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 xml:space="preserve">b) </w:t>
            </w:r>
            <w:r w:rsidR="0087172A" w:rsidRPr="00FB4704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 xml:space="preserve">… </w:t>
            </w:r>
            <w:r w:rsidRPr="00FB4704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>PLN za przeprowadzenie wizyty monitoringowej</w:t>
            </w:r>
            <w:r w:rsidRPr="00FB4704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</w:t>
            </w:r>
            <w:r w:rsidRPr="00FB4704"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t>podczas usługi realizowanej zdalnie</w:t>
            </w:r>
          </w:p>
        </w:tc>
      </w:tr>
    </w:tbl>
    <w:p w14:paraId="377D740A" w14:textId="3306D7CD" w:rsidR="00B36B26" w:rsidRDefault="00B36B26" w:rsidP="00F40ECD">
      <w:pPr>
        <w:pStyle w:val="Nagwek2"/>
        <w:spacing w:before="240" w:after="240" w:line="276" w:lineRule="auto"/>
      </w:pPr>
    </w:p>
    <w:sectPr w:rsidR="00B36B26" w:rsidSect="002676D8">
      <w:headerReference w:type="default" r:id="rId10"/>
      <w:headerReference w:type="first" r:id="rId11"/>
      <w:pgSz w:w="16838" w:h="11906" w:orient="landscape"/>
      <w:pgMar w:top="1560" w:right="1103" w:bottom="1135" w:left="1276" w:header="1422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6D9A" w14:textId="77777777" w:rsidR="002676D8" w:rsidRDefault="002676D8" w:rsidP="009C789F">
      <w:pPr>
        <w:spacing w:line="240" w:lineRule="auto"/>
      </w:pPr>
      <w:r>
        <w:separator/>
      </w:r>
    </w:p>
  </w:endnote>
  <w:endnote w:type="continuationSeparator" w:id="0">
    <w:p w14:paraId="2F732869" w14:textId="77777777" w:rsidR="002676D8" w:rsidRDefault="002676D8" w:rsidP="009C7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E7BE" w14:textId="77777777" w:rsidR="002676D8" w:rsidRDefault="002676D8" w:rsidP="009C789F">
      <w:pPr>
        <w:spacing w:line="240" w:lineRule="auto"/>
      </w:pPr>
      <w:r>
        <w:separator/>
      </w:r>
    </w:p>
  </w:footnote>
  <w:footnote w:type="continuationSeparator" w:id="0">
    <w:p w14:paraId="4AFF5D3E" w14:textId="77777777" w:rsidR="002676D8" w:rsidRDefault="002676D8" w:rsidP="009C789F">
      <w:pPr>
        <w:spacing w:line="240" w:lineRule="auto"/>
      </w:pPr>
      <w:r>
        <w:continuationSeparator/>
      </w:r>
    </w:p>
  </w:footnote>
  <w:footnote w:id="1">
    <w:p w14:paraId="18456BF0" w14:textId="3B05B68C" w:rsidR="00157681" w:rsidRPr="00FB4704" w:rsidRDefault="00157681" w:rsidP="00157681">
      <w:pPr>
        <w:pStyle w:val="Tekstprzypisudolnego"/>
        <w:rPr>
          <w:rFonts w:ascii="Calibri" w:hAnsi="Calibri" w:cs="Calibri"/>
          <w:sz w:val="22"/>
          <w:szCs w:val="22"/>
        </w:rPr>
      </w:pPr>
      <w:r w:rsidRPr="00FB4704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B4704">
        <w:rPr>
          <w:rFonts w:ascii="Calibri" w:hAnsi="Calibri" w:cs="Calibri"/>
          <w:sz w:val="22"/>
          <w:szCs w:val="22"/>
        </w:rPr>
        <w:t xml:space="preserve"> </w:t>
      </w:r>
      <w:bookmarkStart w:id="0" w:name="_Hlk195255003"/>
      <w:r w:rsidRPr="00FB4704">
        <w:rPr>
          <w:rFonts w:ascii="Calibri" w:hAnsi="Calibri" w:cs="Calibri"/>
          <w:sz w:val="22"/>
          <w:szCs w:val="22"/>
        </w:rPr>
        <w:t>Uchwała Rady Programowej ds. kompetencji dotyczącej listy sektorów, w których Prezes PARP powierzył</w:t>
      </w:r>
      <w:r>
        <w:rPr>
          <w:rFonts w:ascii="Calibri" w:hAnsi="Calibri" w:cs="Calibri"/>
          <w:sz w:val="22"/>
          <w:szCs w:val="22"/>
        </w:rPr>
        <w:t>a</w:t>
      </w:r>
      <w:r w:rsidRPr="00FB4704">
        <w:rPr>
          <w:rFonts w:ascii="Calibri" w:hAnsi="Calibri" w:cs="Calibri"/>
          <w:sz w:val="22"/>
          <w:szCs w:val="22"/>
        </w:rPr>
        <w:t xml:space="preserve"> organizację i prowadzenie sektorowych rad ds. kompetencji (na dzień ogłoszenia naboru obowiązuje uchwała nr 2/2024, która może podlegać aktualizacji</w:t>
      </w:r>
      <w:r>
        <w:rPr>
          <w:rFonts w:ascii="Calibri" w:hAnsi="Calibri" w:cs="Calibri"/>
          <w:sz w:val="22"/>
          <w:szCs w:val="22"/>
        </w:rPr>
        <w:t>)</w:t>
      </w:r>
      <w:r w:rsidRPr="00FB4704">
        <w:rPr>
          <w:rFonts w:ascii="Calibri" w:hAnsi="Calibri" w:cs="Calibri"/>
          <w:sz w:val="22"/>
          <w:szCs w:val="22"/>
        </w:rPr>
        <w:t>. Lista sektorów, Załącznik nr 1 do ogłoszenia</w:t>
      </w:r>
      <w:bookmarkEnd w:id="0"/>
      <w:r w:rsidRPr="00FB4704">
        <w:rPr>
          <w:rFonts w:ascii="Calibri" w:hAnsi="Calibri" w:cs="Calibri"/>
          <w:sz w:val="22"/>
          <w:szCs w:val="22"/>
        </w:rPr>
        <w:t>:</w:t>
      </w:r>
      <w:hyperlink r:id="rId1" w:anchor="dokumenty" w:history="1">
        <w:r w:rsidRPr="00FB4704">
          <w:rPr>
            <w:rStyle w:val="Hipercze"/>
            <w:rFonts w:ascii="Calibri" w:hAnsi="Calibri" w:cs="Calibri"/>
            <w:sz w:val="22"/>
            <w:szCs w:val="22"/>
          </w:rPr>
          <w:t>https://www.parp.gov.pl/component/grants/grants/konkurs-na-powierzenie-organizacji-i-prowadzenia-sektorowych-rad-ds-kompetencji#dokumenty</w:t>
        </w:r>
      </w:hyperlink>
    </w:p>
  </w:footnote>
  <w:footnote w:id="2">
    <w:p w14:paraId="4D9E3C32" w14:textId="6D5ED61C" w:rsidR="0032687E" w:rsidRPr="007C7167" w:rsidRDefault="0032687E">
      <w:pPr>
        <w:pStyle w:val="Tekstprzypisudolnego"/>
        <w:rPr>
          <w:rFonts w:ascii="Calibri" w:hAnsi="Calibri" w:cs="Calibri"/>
          <w:sz w:val="22"/>
          <w:szCs w:val="22"/>
        </w:rPr>
      </w:pPr>
      <w:r w:rsidRPr="007C7167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7C716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7C7167">
        <w:rPr>
          <w:rFonts w:ascii="Calibri" w:hAnsi="Calibri" w:cs="Calibri"/>
          <w:sz w:val="22"/>
          <w:szCs w:val="22"/>
        </w:rPr>
        <w:t xml:space="preserve"> przypadku usługi realizowanej poza Bazą Usług Rozwojowych (BUR) karta usługi powinna być zgodna z zamówieniem na usługę.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B08C" w14:textId="77777777" w:rsidR="0081767F" w:rsidRDefault="0081767F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802BE0" wp14:editId="332014B5">
          <wp:simplePos x="0" y="0"/>
          <wp:positionH relativeFrom="column">
            <wp:posOffset>1659255</wp:posOffset>
          </wp:positionH>
          <wp:positionV relativeFrom="paragraph">
            <wp:posOffset>-578485</wp:posOffset>
          </wp:positionV>
          <wp:extent cx="5762625" cy="523875"/>
          <wp:effectExtent l="0" t="0" r="9525" b="9525"/>
          <wp:wrapNone/>
          <wp:docPr id="2083870424" name="Obraz 5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43B88F" w14:textId="77777777" w:rsidR="0081767F" w:rsidRPr="000C4BB9" w:rsidRDefault="0081767F" w:rsidP="00157B49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2221" w14:textId="77777777" w:rsidR="0081767F" w:rsidRDefault="0081767F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6A2A3F" w14:textId="77777777" w:rsidR="0081767F" w:rsidRDefault="00817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5E56"/>
    <w:multiLevelType w:val="hybridMultilevel"/>
    <w:tmpl w:val="839C6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B8"/>
    <w:multiLevelType w:val="hybridMultilevel"/>
    <w:tmpl w:val="4616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45A"/>
    <w:multiLevelType w:val="hybridMultilevel"/>
    <w:tmpl w:val="D86E7F04"/>
    <w:lvl w:ilvl="0" w:tplc="297262C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36B3"/>
    <w:multiLevelType w:val="hybridMultilevel"/>
    <w:tmpl w:val="6A022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55422"/>
    <w:multiLevelType w:val="multilevel"/>
    <w:tmpl w:val="DA3CF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727710"/>
    <w:multiLevelType w:val="hybridMultilevel"/>
    <w:tmpl w:val="401E4120"/>
    <w:lvl w:ilvl="0" w:tplc="A3A477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247E40"/>
    <w:multiLevelType w:val="hybridMultilevel"/>
    <w:tmpl w:val="E242992C"/>
    <w:lvl w:ilvl="0" w:tplc="7612FF04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103EB6"/>
    <w:multiLevelType w:val="hybridMultilevel"/>
    <w:tmpl w:val="3C3E9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B50DA"/>
    <w:multiLevelType w:val="hybridMultilevel"/>
    <w:tmpl w:val="F490C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C529E"/>
    <w:multiLevelType w:val="hybridMultilevel"/>
    <w:tmpl w:val="008A1B3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655"/>
    <w:multiLevelType w:val="hybridMultilevel"/>
    <w:tmpl w:val="26FCEF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5204D6"/>
    <w:multiLevelType w:val="hybridMultilevel"/>
    <w:tmpl w:val="7222095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B9072B"/>
    <w:multiLevelType w:val="hybridMultilevel"/>
    <w:tmpl w:val="8676F3DC"/>
    <w:lvl w:ilvl="0" w:tplc="7C52F3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B05CA"/>
    <w:multiLevelType w:val="hybridMultilevel"/>
    <w:tmpl w:val="704ED73E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66DB2F3B"/>
    <w:multiLevelType w:val="hybridMultilevel"/>
    <w:tmpl w:val="5F581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F2544"/>
    <w:multiLevelType w:val="hybridMultilevel"/>
    <w:tmpl w:val="B1C6A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910D6"/>
    <w:multiLevelType w:val="hybridMultilevel"/>
    <w:tmpl w:val="AA68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46FA8"/>
    <w:multiLevelType w:val="hybridMultilevel"/>
    <w:tmpl w:val="9D58AD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39558266">
    <w:abstractNumId w:val="11"/>
  </w:num>
  <w:num w:numId="2" w16cid:durableId="1651254274">
    <w:abstractNumId w:val="10"/>
  </w:num>
  <w:num w:numId="3" w16cid:durableId="1559703753">
    <w:abstractNumId w:val="1"/>
  </w:num>
  <w:num w:numId="4" w16cid:durableId="1327244768">
    <w:abstractNumId w:val="0"/>
  </w:num>
  <w:num w:numId="5" w16cid:durableId="1272593717">
    <w:abstractNumId w:val="15"/>
  </w:num>
  <w:num w:numId="6" w16cid:durableId="461769863">
    <w:abstractNumId w:val="2"/>
  </w:num>
  <w:num w:numId="7" w16cid:durableId="1335720272">
    <w:abstractNumId w:val="9"/>
  </w:num>
  <w:num w:numId="8" w16cid:durableId="296960501">
    <w:abstractNumId w:val="4"/>
  </w:num>
  <w:num w:numId="9" w16cid:durableId="975329485">
    <w:abstractNumId w:val="3"/>
  </w:num>
  <w:num w:numId="10" w16cid:durableId="2143617842">
    <w:abstractNumId w:val="5"/>
  </w:num>
  <w:num w:numId="11" w16cid:durableId="108356581">
    <w:abstractNumId w:val="7"/>
  </w:num>
  <w:num w:numId="12" w16cid:durableId="880169661">
    <w:abstractNumId w:val="16"/>
  </w:num>
  <w:num w:numId="13" w16cid:durableId="932318042">
    <w:abstractNumId w:val="12"/>
  </w:num>
  <w:num w:numId="14" w16cid:durableId="398989674">
    <w:abstractNumId w:val="6"/>
  </w:num>
  <w:num w:numId="15" w16cid:durableId="1869946661">
    <w:abstractNumId w:val="17"/>
  </w:num>
  <w:num w:numId="16" w16cid:durableId="1640765469">
    <w:abstractNumId w:val="8"/>
  </w:num>
  <w:num w:numId="17" w16cid:durableId="473913572">
    <w:abstractNumId w:val="13"/>
  </w:num>
  <w:num w:numId="18" w16cid:durableId="6225411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9F"/>
    <w:rsid w:val="00047506"/>
    <w:rsid w:val="000C327C"/>
    <w:rsid w:val="000E44BC"/>
    <w:rsid w:val="0010176A"/>
    <w:rsid w:val="00123AE4"/>
    <w:rsid w:val="00157681"/>
    <w:rsid w:val="00157B49"/>
    <w:rsid w:val="002544F6"/>
    <w:rsid w:val="00256B2C"/>
    <w:rsid w:val="002676D8"/>
    <w:rsid w:val="0031077F"/>
    <w:rsid w:val="0032687E"/>
    <w:rsid w:val="003A3967"/>
    <w:rsid w:val="003A511A"/>
    <w:rsid w:val="004A5990"/>
    <w:rsid w:val="004B633A"/>
    <w:rsid w:val="004C0E06"/>
    <w:rsid w:val="00520F32"/>
    <w:rsid w:val="005473E9"/>
    <w:rsid w:val="00584794"/>
    <w:rsid w:val="005F3AA5"/>
    <w:rsid w:val="00611AB3"/>
    <w:rsid w:val="00621BC7"/>
    <w:rsid w:val="00744221"/>
    <w:rsid w:val="00777F79"/>
    <w:rsid w:val="007C7167"/>
    <w:rsid w:val="0081767F"/>
    <w:rsid w:val="00842641"/>
    <w:rsid w:val="00855304"/>
    <w:rsid w:val="0087172A"/>
    <w:rsid w:val="008731CD"/>
    <w:rsid w:val="008A7819"/>
    <w:rsid w:val="008A7D04"/>
    <w:rsid w:val="008B7024"/>
    <w:rsid w:val="0093144F"/>
    <w:rsid w:val="009C5EBE"/>
    <w:rsid w:val="009C789F"/>
    <w:rsid w:val="00A051F7"/>
    <w:rsid w:val="00A43179"/>
    <w:rsid w:val="00A473DC"/>
    <w:rsid w:val="00AD0EB7"/>
    <w:rsid w:val="00AD4FD1"/>
    <w:rsid w:val="00AE2FD1"/>
    <w:rsid w:val="00B02E1C"/>
    <w:rsid w:val="00B04AFE"/>
    <w:rsid w:val="00B36B26"/>
    <w:rsid w:val="00B8408B"/>
    <w:rsid w:val="00B8712C"/>
    <w:rsid w:val="00BA390E"/>
    <w:rsid w:val="00C0382D"/>
    <w:rsid w:val="00C07596"/>
    <w:rsid w:val="00C17ED9"/>
    <w:rsid w:val="00C44AD8"/>
    <w:rsid w:val="00C60033"/>
    <w:rsid w:val="00C7683B"/>
    <w:rsid w:val="00C92E31"/>
    <w:rsid w:val="00D25B97"/>
    <w:rsid w:val="00D406B4"/>
    <w:rsid w:val="00D64C75"/>
    <w:rsid w:val="00D77B6E"/>
    <w:rsid w:val="00D949E3"/>
    <w:rsid w:val="00DD1944"/>
    <w:rsid w:val="00E10058"/>
    <w:rsid w:val="00E23F4A"/>
    <w:rsid w:val="00E82EF3"/>
    <w:rsid w:val="00EE4D1D"/>
    <w:rsid w:val="00F14091"/>
    <w:rsid w:val="00F2656E"/>
    <w:rsid w:val="00F37C77"/>
    <w:rsid w:val="00F40ECD"/>
    <w:rsid w:val="00F50DAE"/>
    <w:rsid w:val="00F5254B"/>
    <w:rsid w:val="00F63DAB"/>
    <w:rsid w:val="00FA3C79"/>
    <w:rsid w:val="00FA77E8"/>
    <w:rsid w:val="00FB4704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9F4"/>
  <w15:docId w15:val="{8D803E2C-7875-45DA-BAC7-1A533D51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89F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8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8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8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8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C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8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8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89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C78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8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8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89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semiHidden/>
    <w:unhideWhenUsed/>
    <w:rsid w:val="009C78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89F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89F"/>
    <w:rPr>
      <w:rFonts w:ascii="Calibri" w:eastAsia="Calibri" w:hAnsi="Calibri" w:cs="Times New Roman"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789F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789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9C789F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789F"/>
    <w:rPr>
      <w:rFonts w:ascii="Calibri" w:eastAsia="Calibri" w:hAnsi="Calibri" w:cs="Times New Roman"/>
      <w:kern w:val="0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9C789F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9C789F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9C789F"/>
    <w:rPr>
      <w:vertAlign w:val="superscript"/>
    </w:rPr>
  </w:style>
  <w:style w:type="character" w:customStyle="1" w:styleId="cf01">
    <w:name w:val="cf01"/>
    <w:rsid w:val="009C78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C789F"/>
    <w:pPr>
      <w:spacing w:before="100" w:beforeAutospacing="1" w:after="100" w:afterAutospacing="1" w:line="240" w:lineRule="auto"/>
      <w:ind w:left="720"/>
      <w:jc w:val="left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9C789F"/>
  </w:style>
  <w:style w:type="paragraph" w:styleId="Poprawka">
    <w:name w:val="Revision"/>
    <w:hidden/>
    <w:uiPriority w:val="99"/>
    <w:semiHidden/>
    <w:rsid w:val="00047506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0E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0EC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0EC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ECD"/>
    <w:pPr>
      <w:spacing w:after="0"/>
      <w:jc w:val="both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EC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051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1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268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p.gov.pl/component/grants/grants/konkurs-na-powierzenie-organizacji-i-prowadzenia-sektorowych-rad-ds-kompetencj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1CBD-8EE5-43DF-BF67-4BAC14CA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Joanna</dc:creator>
  <cp:keywords/>
  <dc:description/>
  <cp:lastModifiedBy>Karpińska Katarzyna</cp:lastModifiedBy>
  <cp:revision>5</cp:revision>
  <dcterms:created xsi:type="dcterms:W3CDTF">2025-04-11T07:20:00Z</dcterms:created>
  <dcterms:modified xsi:type="dcterms:W3CDTF">2025-04-11T10:06:00Z</dcterms:modified>
</cp:coreProperties>
</file>